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Style w:val="titleFont"/>
        </w:rPr>
        <w:t xml:space="preserve">环保高效胡椒生产线建设项目</w:t>
      </w:r>
    </w:p>
    <w:p/>
    <w:tbl>
      <w:tblPr>
        <w:tblStyle w:val="tableStyle"/>
      </w:tblPr>
      <w:tr>
        <w:tc>
          <w:tcPr>
            <w:tcW w:w="1500" w:type="dxa"/>
            <w:hMerge w:val="restart"/>
            <w:shd w:val="clear" w:color="auto" w:fill="CDCDCD"/>
            <w:vAlign w:val="center"/>
          </w:tcPr>
          <w:p>
            <w:pPr>
              <w:jc w:val="left"/>
            </w:pPr>
            <w:r>
              <w:rPr>
                <w:rFonts w:eastAsia="宋体" w:ascii="宋体" w:hAnsi="宋体" w:cs="宋体"/>
                <w:color w:val="ff0000"/>
                <w:sz w:val="24"/>
                <w:szCs w:val="24"/>
                <w:b/>
              </w:rPr>
              <w:t xml:space="preserve">项目概况</w:t>
            </w:r>
          </w:p>
        </w:tc>
        <w:tc>
          <w:tcPr>
            <w:tcW w:w="1500" w:type="dxa"/>
            <w:hMerge/>
          </w:tcPr>
          <w:p/>
        </w:tc>
        <w:tc>
          <w:tcPr>
            <w:tcW w:w="1500" w:type="dxa"/>
            <w:hMerge/>
          </w:tcPr>
          <w:p/>
        </w:tc>
        <w:tc>
          <w:tcPr>
            <w:tcW w:w="1500" w:type="dxa"/>
            <w:hMerge/>
          </w:tcPr>
          <w:p/>
        </w:tc>
        <w:tc>
          <w:tcPr>
            <w:tcW w:w="1500" w:type="dxa"/>
            <w:hMerge/>
          </w:tcPr>
          <w:p/>
        </w:tc>
        <w:tc>
          <w:tcPr>
            <w:tcW w:w="1500" w:type="dxa"/>
            <w:hMerge/>
          </w:tcPr>
          <w:p/>
        </w:tc>
      </w:tr>
      <w:tr>
        <w:tc>
          <w:tcPr>
            <w:tcW w:w="1500" w:type="dxa"/>
            <w:vAlign w:val="center"/>
          </w:tcPr>
          <w:p>
            <w:pPr>
              <w:jc w:val="center"/>
            </w:pPr>
            <w:r>
              <w:rPr>
                <w:rFonts w:eastAsia="宋体" w:ascii="宋体" w:hAnsi="宋体" w:cs="宋体"/>
                <w:b/>
              </w:rPr>
              <w:t xml:space="preserve">地    区</w:t>
            </w:r>
          </w:p>
        </w:tc>
        <w:tc>
          <w:tcPr>
            <w:tcW w:w="3000" w:type="dxa"/>
            <w:hMerge w:val="restart"/>
            <w:vAlign w:val="center"/>
          </w:tcPr>
          <w:p>
            <w:pPr>
              <w:spacing w:line="260" w:lineRule="auto"/>
            </w:pPr>
            <w:r>
              <w:rPr>
                <w:rFonts w:eastAsia="宋体" w:ascii="宋体" w:hAnsi="宋体" w:cs="宋体"/>
              </w:rPr>
              <w:t xml:space="preserve"/>
            </w:r>
          </w:p>
        </w:tc>
        <w:tc>
          <w:tcPr>
            <w:tcW w:w="1500" w:type="dxa"/>
            <w:hMerge/>
          </w:tcPr>
          <w:p/>
        </w:tc>
        <w:tc>
          <w:tcPr>
            <w:tcW w:w="1500" w:type="dxa"/>
            <w:vAlign w:val="center"/>
          </w:tcPr>
          <w:p>
            <w:pPr>
              <w:jc w:val="center"/>
            </w:pPr>
            <w:r>
              <w:rPr>
                <w:rFonts w:eastAsia="宋体" w:ascii="宋体" w:hAnsi="宋体" w:cs="宋体"/>
                <w:b/>
              </w:rPr>
              <w:t xml:space="preserve">发布时间</w:t>
            </w:r>
          </w:p>
        </w:tc>
        <w:tc>
          <w:tcPr>
            <w:tcW w:w="3000" w:type="dxa"/>
            <w:hMerge w:val="restart"/>
            <w:vAlign w:val="center"/>
          </w:tcPr>
          <w:p>
            <w:pPr>
              <w:spacing w:line="260" w:lineRule="auto"/>
            </w:pPr>
            <w:r>
              <w:rPr>
                <w:rFonts w:eastAsia="宋体" w:ascii="宋体" w:hAnsi="宋体" w:cs="宋体"/>
              </w:rPr>
              <w:t xml:space="preserve">2017-04-20</w:t>
            </w:r>
          </w:p>
        </w:tc>
        <w:tc>
          <w:tcPr>
            <w:tcW w:w="1500" w:type="dxa"/>
            <w:hMerge/>
          </w:tcPr>
          <w:p/>
        </w:tc>
      </w:tr>
      <w:tr>
        <w:tc>
          <w:tcPr>
            <w:tcW w:w="1500" w:type="dxa"/>
            <w:vAlign w:val="center"/>
          </w:tcPr>
          <w:p>
            <w:pPr>
              <w:jc w:val="center"/>
            </w:pPr>
            <w:r>
              <w:rPr>
                <w:rFonts w:eastAsia="宋体" w:ascii="宋体" w:hAnsi="宋体" w:cs="宋体"/>
                <w:b/>
              </w:rPr>
              <w:t xml:space="preserve">项目性质</w:t>
            </w:r>
          </w:p>
        </w:tc>
        <w:tc>
          <w:tcPr>
            <w:tcW w:w="3000" w:type="dxa"/>
            <w:hMerge w:val="restart"/>
            <w:vAlign w:val="center"/>
          </w:tcPr>
          <w:p>
            <w:pPr>
              <w:spacing w:line="260" w:lineRule="auto"/>
            </w:pPr>
            <w:r>
              <w:rPr>
                <w:rFonts w:eastAsia="宋体" w:ascii="宋体" w:hAnsi="宋体" w:cs="宋体"/>
              </w:rPr>
              <w:t xml:space="preserve">新建</w:t>
            </w:r>
          </w:p>
        </w:tc>
        <w:tc>
          <w:tcPr>
            <w:tcW w:w="1500" w:type="dxa"/>
            <w:hMerge/>
          </w:tcPr>
          <w:p/>
        </w:tc>
        <w:tc>
          <w:tcPr>
            <w:tcW w:w="1500" w:type="dxa"/>
            <w:vAlign w:val="center"/>
          </w:tcPr>
          <w:p>
            <w:pPr>
              <w:jc w:val="center"/>
            </w:pPr>
            <w:r>
              <w:rPr>
                <w:rFonts w:eastAsia="宋体" w:ascii="宋体" w:hAnsi="宋体" w:cs="宋体"/>
                <w:b/>
              </w:rPr>
              <w:t xml:space="preserve">企业性质</w:t>
            </w:r>
          </w:p>
        </w:tc>
        <w:tc>
          <w:tcPr>
            <w:tcW w:w="3000" w:type="dxa"/>
            <w:hMerge w:val="restart"/>
            <w:vAlign w:val="center"/>
          </w:tcPr>
          <w:p>
            <w:pPr>
              <w:spacing w:line="260" w:lineRule="auto"/>
            </w:pPr>
            <w:r>
              <w:rPr>
                <w:rFonts w:eastAsia="宋体" w:ascii="宋体" w:hAnsi="宋体" w:cs="宋体"/>
              </w:rPr>
              <w:t xml:space="preserve">无权限</w:t>
            </w:r>
          </w:p>
        </w:tc>
        <w:tc>
          <w:tcPr>
            <w:tcW w:w="1500" w:type="dxa"/>
            <w:hMerge/>
          </w:tcPr>
          <w:p/>
        </w:tc>
      </w:tr>
      <w:tr>
        <w:tc>
          <w:tcPr>
            <w:tcW w:w="1500" w:type="dxa"/>
            <w:vAlign w:val="center"/>
          </w:tcPr>
          <w:p>
            <w:pPr>
              <w:jc w:val="center"/>
            </w:pPr>
            <w:r>
              <w:rPr>
                <w:rFonts w:eastAsia="宋体" w:ascii="宋体" w:hAnsi="宋体" w:cs="宋体"/>
                <w:b/>
              </w:rPr>
              <w:t xml:space="preserve">行    业</w:t>
            </w:r>
          </w:p>
        </w:tc>
        <w:tc>
          <w:tcPr>
            <w:tcW w:w="3000" w:type="dxa"/>
            <w:hMerge w:val="restart"/>
            <w:vAlign w:val="center"/>
          </w:tcPr>
          <w:p>
            <w:pPr>
              <w:spacing w:line="260" w:lineRule="auto"/>
            </w:pPr>
            <w:r>
              <w:rPr>
                <w:rFonts w:eastAsia="宋体" w:ascii="宋体" w:hAnsi="宋体" w:cs="宋体"/>
              </w:rPr>
              <w:t xml:space="preserve">工程建筑</w:t>
            </w:r>
          </w:p>
        </w:tc>
        <w:tc>
          <w:tcPr>
            <w:tcW w:w="1500" w:type="dxa"/>
            <w:hMerge/>
          </w:tcPr>
          <w:p/>
        </w:tc>
        <w:tc>
          <w:tcPr>
            <w:tcW w:w="1500" w:type="dxa"/>
            <w:vAlign w:val="center"/>
          </w:tcPr>
          <w:p>
            <w:pPr>
              <w:jc w:val="center"/>
            </w:pPr>
            <w:r>
              <w:rPr>
                <w:rFonts w:eastAsia="宋体" w:ascii="宋体" w:hAnsi="宋体" w:cs="宋体"/>
                <w:b/>
              </w:rPr>
              <w:t xml:space="preserve">投资总额</w:t>
            </w:r>
          </w:p>
        </w:tc>
        <w:tc>
          <w:tcPr>
            <w:tcW w:w="3000" w:type="dxa"/>
            <w:hMerge w:val="restart"/>
            <w:vAlign w:val="center"/>
          </w:tcPr>
          <w:p>
            <w:pPr>
              <w:spacing w:line="260" w:lineRule="auto"/>
            </w:pPr>
            <w:r>
              <w:rPr>
                <w:rFonts w:eastAsia="宋体" w:ascii="宋体" w:hAnsi="宋体" w:cs="宋体"/>
              </w:rPr>
              <w:t xml:space="preserve">2000万元</w:t>
            </w:r>
          </w:p>
        </w:tc>
        <w:tc>
          <w:tcPr>
            <w:tcW w:w="1500" w:type="dxa"/>
            <w:hMerge/>
          </w:tcPr>
          <w:p/>
        </w:tc>
      </w:tr>
      <w:tr>
        <w:tc>
          <w:tcPr>
            <w:tcW w:w="1500" w:type="dxa"/>
            <w:vAlign w:val="center"/>
          </w:tcPr>
          <w:p>
            <w:pPr>
              <w:jc w:val="center"/>
            </w:pPr>
            <w:r>
              <w:rPr>
                <w:rFonts w:eastAsia="宋体" w:ascii="宋体" w:hAnsi="宋体" w:cs="宋体"/>
                <w:b/>
              </w:rPr>
              <w:t xml:space="preserve">进展阶段</w:t>
            </w:r>
          </w:p>
        </w:tc>
        <w:tc>
          <w:tcPr>
            <w:tcW w:w="3000" w:type="dxa"/>
            <w:hMerge w:val="restart"/>
            <w:vAlign w:val="center"/>
          </w:tcPr>
          <w:p>
            <w:pPr>
              <w:spacing w:line="260" w:lineRule="auto"/>
            </w:pPr>
            <w:r>
              <w:rPr>
                <w:rFonts w:eastAsia="宋体" w:ascii="宋体" w:hAnsi="宋体" w:cs="宋体"/>
              </w:rPr>
              <w:t xml:space="preserve">环评</w:t>
            </w:r>
          </w:p>
        </w:tc>
        <w:tc>
          <w:tcPr>
            <w:tcW w:w="1500" w:type="dxa"/>
            <w:hMerge/>
          </w:tcPr>
          <w:p/>
        </w:tc>
        <w:tc>
          <w:tcPr>
            <w:tcW w:w="1500" w:type="dxa"/>
            <w:vAlign w:val="center"/>
          </w:tcPr>
          <w:p>
            <w:pPr>
              <w:jc w:val="center"/>
            </w:pPr>
            <w:r>
              <w:rPr>
                <w:rFonts w:eastAsia="宋体" w:ascii="宋体" w:hAnsi="宋体" w:cs="宋体"/>
                <w:b/>
              </w:rPr>
              <w:t xml:space="preserve">审批机关</w:t>
            </w:r>
          </w:p>
        </w:tc>
        <w:tc>
          <w:tcPr>
            <w:tcW w:w="3000" w:type="dxa"/>
            <w:hMerge w:val="restart"/>
            <w:vAlign w:val="center"/>
          </w:tcPr>
          <w:p>
            <w:pPr>
              <w:spacing w:line="260" w:lineRule="auto"/>
            </w:pPr>
            <w:r>
              <w:rPr>
                <w:rFonts w:eastAsia="宋体" w:ascii="宋体" w:hAnsi="宋体" w:cs="宋体"/>
              </w:rPr>
              <w:t xml:space="preserve">无权限</w:t>
            </w:r>
          </w:p>
        </w:tc>
        <w:tc>
          <w:tcPr>
            <w:tcW w:w="1500" w:type="dxa"/>
            <w:hMerge/>
          </w:tcPr>
          <w:p/>
        </w:tc>
      </w:tr>
      <w:tr>
        <w:tc>
          <w:tcPr>
            <w:tcW w:w="1500" w:type="dxa"/>
            <w:vAlign w:val="center"/>
          </w:tcPr>
          <w:p>
            <w:pPr>
              <w:jc w:val="center"/>
            </w:pPr>
            <w:r>
              <w:rPr>
                <w:rFonts w:eastAsia="宋体" w:ascii="宋体" w:hAnsi="宋体" w:cs="宋体"/>
                <w:b/>
              </w:rPr>
              <w:t xml:space="preserve">建设周期</w:t>
            </w:r>
          </w:p>
        </w:tc>
        <w:tc>
          <w:tcPr>
            <w:tcW w:w="3000" w:type="dxa"/>
            <w:hMerge w:val="restart"/>
            <w:vAlign w:val="center"/>
          </w:tcPr>
          <w:p>
            <w:pPr>
              <w:spacing w:line="260" w:lineRule="auto"/>
            </w:pPr>
            <w:r>
              <w:rPr>
                <w:rFonts w:eastAsia="宋体" w:ascii="宋体" w:hAnsi="宋体" w:cs="宋体"/>
              </w:rPr>
              <w:t xml:space="preserve">无权限</w:t>
            </w:r>
          </w:p>
        </w:tc>
        <w:tc>
          <w:tcPr>
            <w:tcW w:w="1500" w:type="dxa"/>
            <w:hMerge/>
          </w:tcPr>
          <w:p/>
        </w:tc>
        <w:tc>
          <w:tcPr>
            <w:tcW w:w="1500" w:type="dxa"/>
            <w:vAlign w:val="center"/>
          </w:tcPr>
          <w:p>
            <w:pPr>
              <w:jc w:val="center"/>
            </w:pPr>
            <w:r>
              <w:rPr>
                <w:rFonts w:eastAsia="宋体" w:ascii="宋体" w:hAnsi="宋体" w:cs="宋体"/>
                <w:b/>
              </w:rPr>
              <w:t xml:space="preserve">资金到位</w:t>
            </w:r>
          </w:p>
        </w:tc>
        <w:tc>
          <w:tcPr>
            <w:tcW w:w="3000" w:type="dxa"/>
            <w:hMerge w:val="restart"/>
            <w:vAlign w:val="center"/>
          </w:tcPr>
          <w:p>
            <w:pPr>
              <w:spacing w:line="260" w:lineRule="auto"/>
            </w:pPr>
            <w:r>
              <w:rPr>
                <w:rFonts w:eastAsia="宋体" w:ascii="宋体" w:hAnsi="宋体" w:cs="宋体"/>
              </w:rPr>
              <w:t xml:space="preserve">筹集资金</w:t>
            </w:r>
          </w:p>
        </w:tc>
        <w:tc>
          <w:tcPr>
            <w:tcW w:w="1500" w:type="dxa"/>
            <w:hMerge/>
          </w:tcPr>
          <w:p/>
        </w:tc>
      </w:tr>
      <w:tr>
        <w:tc>
          <w:tcPr>
            <w:tcW w:w="1500" w:type="dxa"/>
            <w:vAlign w:val="center"/>
          </w:tcPr>
          <w:p>
            <w:pPr>
              <w:jc w:val="center"/>
            </w:pPr>
            <w:r>
              <w:rPr>
                <w:rFonts w:eastAsia="宋体" w:ascii="宋体" w:hAnsi="宋体" w:cs="宋体"/>
                <w:b/>
              </w:rPr>
              <w:t xml:space="preserve">主要产品</w:t>
            </w:r>
          </w:p>
        </w:tc>
        <w:tc>
          <w:tcPr>
            <w:tcW w:w="1500" w:type="dxa"/>
            <w:hMerge w:val="restart"/>
            <w:vAlign w:val="center"/>
          </w:tcPr>
          <w:p>
            <w:r>
              <w:rPr>
                <w:rFonts w:eastAsia="宋体" w:ascii="宋体" w:hAnsi="宋体" w:cs="宋体"/>
              </w:rPr>
              <w:t xml:space="preserve">无权限</w:t>
            </w:r>
          </w:p>
        </w:tc>
        <w:tc>
          <w:tcPr>
            <w:tcW w:w="1500" w:type="dxa"/>
            <w:hMerge/>
          </w:tcPr>
          <w:p/>
        </w:tc>
        <w:tc>
          <w:tcPr>
            <w:tcW w:w="1500" w:type="dxa"/>
            <w:hMerge/>
          </w:tcPr>
          <w:p/>
        </w:tc>
        <w:tc>
          <w:tcPr>
            <w:tcW w:w="1500" w:type="dxa"/>
            <w:hMerge/>
          </w:tcPr>
          <w:p/>
        </w:tc>
        <w:tc>
          <w:tcPr>
            <w:tcW w:w="1500" w:type="dxa"/>
            <w:hMerge/>
          </w:tcPr>
          <w:p/>
        </w:tc>
      </w:tr>
      <w:tr>
        <w:tc>
          <w:tcPr>
            <w:tcW w:w="1500" w:type="dxa"/>
            <w:vAlign w:val="center"/>
          </w:tcPr>
          <w:p>
            <w:pPr>
              <w:jc w:val="center"/>
            </w:pPr>
            <w:r>
              <w:rPr>
                <w:rFonts w:eastAsia="宋体" w:ascii="宋体" w:hAnsi="宋体" w:cs="宋体"/>
                <w:b/>
              </w:rPr>
              <w:t xml:space="preserve">项目解析</w:t>
            </w:r>
          </w:p>
        </w:tc>
        <w:tc>
          <w:tcPr>
            <w:tcW w:w="1500" w:type="dxa"/>
            <w:hMerge w:val="restart"/>
            <w:vAlign w:val="center"/>
          </w:tcPr>
          <w:p>
            <w:r>
              <w:rPr>
                <w:rFonts w:eastAsia="宋体" w:ascii="宋体" w:hAnsi="宋体" w:cs="宋体"/>
              </w:rPr>
              <w:t xml:space="preserve">项目专员建议内容是由招标投标项目网项目部专员进行全程跟踪报道与该项目业主单位第一时间了解到的最新消息（包括项目规模、投资额、目前进展状况及本项目所涉及到的相关工程、设备设施以及招标时间及招标方式等）\r\n温馨提示您：您可以根据项目的规模、投资额、进展阶段、招标方式、招标时间以及自己产品的竞争优势与业主联系后参与本项目，以便节省您的宝贵时间。(详细内容请确认您已登陆VIP会员帐户查看）</w:t>
            </w:r>
          </w:p>
        </w:tc>
        <w:tc>
          <w:tcPr>
            <w:tcW w:w="1500" w:type="dxa"/>
            <w:hMerge/>
          </w:tcPr>
          <w:p/>
        </w:tc>
        <w:tc>
          <w:tcPr>
            <w:tcW w:w="1500" w:type="dxa"/>
            <w:hMerge/>
          </w:tcPr>
          <w:p/>
        </w:tc>
        <w:tc>
          <w:tcPr>
            <w:tcW w:w="1500" w:type="dxa"/>
            <w:hMerge/>
          </w:tcPr>
          <w:p/>
        </w:tc>
        <w:tc>
          <w:tcPr>
            <w:tcW w:w="1500" w:type="dxa"/>
            <w:hMerge/>
          </w:tcPr>
          <w:p/>
        </w:tc>
      </w:tr>
      <w:tr>
        <w:tc>
          <w:tcPr>
            <w:tcW w:w="1500" w:type="dxa"/>
            <w:hMerge w:val="restart"/>
            <w:shd w:val="clear" w:color="auto" w:fill="CDCDCD"/>
            <w:vAlign w:val="center"/>
          </w:tcPr>
          <w:p>
            <w:pPr>
              <w:jc w:val="left"/>
            </w:pPr>
            <w:r>
              <w:rPr>
                <w:rFonts w:eastAsia="宋体" w:ascii="宋体" w:hAnsi="宋体" w:cs="宋体"/>
                <w:color w:val="ff0000"/>
                <w:sz w:val="24"/>
                <w:szCs w:val="24"/>
                <w:b/>
              </w:rPr>
              <w:t xml:space="preserve">项目简介</w:t>
            </w:r>
          </w:p>
        </w:tc>
        <w:tc>
          <w:tcPr>
            <w:tcW w:w="1500" w:type="dxa"/>
            <w:hMerge/>
          </w:tcPr>
          <w:p/>
        </w:tc>
        <w:tc>
          <w:tcPr>
            <w:tcW w:w="1500" w:type="dxa"/>
            <w:hMerge/>
          </w:tcPr>
          <w:p/>
        </w:tc>
        <w:tc>
          <w:tcPr>
            <w:tcW w:w="1500" w:type="dxa"/>
            <w:hMerge/>
          </w:tcPr>
          <w:p/>
        </w:tc>
        <w:tc>
          <w:tcPr>
            <w:tcW w:w="1500" w:type="dxa"/>
            <w:hMerge/>
          </w:tcPr>
          <w:p/>
        </w:tc>
        <w:tc>
          <w:tcPr>
            <w:tcW w:w="1500" w:type="dxa"/>
            <w:hMerge/>
          </w:tcPr>
          <w:p/>
        </w:tc>
      </w:tr>
      <w:tr>
        <w:tc>
          <w:tcPr>
            <w:tcW w:w="1500" w:type="dxa"/>
            <w:hMerge w:val="restart"/>
            <w:vAlign w:val="center"/>
          </w:tcPr>
          <w:p>
            <w:pPr>
              <w:jc w:val="left"/>
            </w:pPr>
            <w:r>
              <w:rPr>
                <w:rFonts w:eastAsia="宋体" w:ascii="宋体" w:hAnsi="宋体" w:cs="宋体"/>
              </w:rPr>
              <w:t xml:space="preserve">无权限</w:t>
            </w:r>
          </w:p>
        </w:tc>
        <w:tc>
          <w:tcPr>
            <w:tcW w:w="1500" w:type="dxa"/>
            <w:hMerge/>
          </w:tcPr>
          <w:p/>
        </w:tc>
        <w:tc>
          <w:tcPr>
            <w:tcW w:w="1500" w:type="dxa"/>
            <w:hMerge/>
          </w:tcPr>
          <w:p/>
        </w:tc>
        <w:tc>
          <w:tcPr>
            <w:tcW w:w="1500" w:type="dxa"/>
            <w:hMerge/>
          </w:tcPr>
          <w:p/>
        </w:tc>
        <w:tc>
          <w:tcPr>
            <w:tcW w:w="1500" w:type="dxa"/>
            <w:hMerge/>
          </w:tcPr>
          <w:p/>
        </w:tc>
        <w:tc>
          <w:tcPr>
            <w:tcW w:w="1500" w:type="dxa"/>
            <w:hMerge/>
          </w:tcPr>
          <w:p/>
        </w:tc>
      </w:tr>
    </w:tbl>
    <w:sectPr>
      <w:headerReference w:type="default" r:id="rId7"/>
      <w:footerReference w:type="default" r:id="rId8"/>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Style w:val="headerFont"/>
      </w:rPr>
      <w:instrText xml:space="preserve">PAGE</w:instrText>
    </w:r>
    <w:r>
      <w:fldChar w:fldCharType="separate"/>
    </w:r>
    <w:r>
      <w:fldChar w:fldCharType="end"/>
    </w:r>
    <w:r>
      <w:rPr>
        <w:rStyle w:val="headerFont"/>
      </w:rPr>
      <w:t xml:space="preserve"> / </w:t>
    </w:r>
    <w:r>
      <w:fldChar w:fldCharType="begin"/>
    </w:r>
    <w:r>
      <w:rPr>
        <w:rStyle w:val="headerFont"/>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Style w:val="headerFont"/>
      </w:rPr>
      <w:t xml:space="preserve">招标投标项目网  www.bidservice.com.cn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eastAsia="Arial" w:ascii="Arial" w:hAnsi="Arial" w:cs="Arial"/>
        <w:sz w:val="20"/>
        <w:szCs w:val="20"/>
      </w:rPr>
    </w:rPrDefault>
  </w:docDefaults>
  <w:style w:type="character">
    <w:name w:val="headerFont"/>
    <w:rPr>
      <w:rFonts w:eastAsia="宋体" w:ascii="宋体" w:hAnsi="宋体" w:cs="宋体"/>
    </w:rPr>
  </w:style>
  <w:style w:type="character">
    <w:name w:val="titleFont"/>
    <w:rPr>
      <w:rFonts w:eastAsia="宋体" w:ascii="宋体" w:hAnsi="宋体" w:cs="宋体"/>
      <w:sz w:val="32"/>
      <w:szCs w:val="32"/>
      <w:b/>
    </w:rPr>
  </w:style>
  <w:style w:type="character">
    <w:name w:val="defaultFont"/>
    <w:rPr>
      <w:rFonts w:eastAsia="宋体" w:ascii="宋体" w:hAnsi="宋体" w:cs="宋体"/>
      <w:sz w:val="24"/>
      <w:szCs w:val="24"/>
    </w:rPr>
  </w:style>
  <w:style w:type="character">
    <w:name w:val="linkFont"/>
    <w:rPr>
      <w:rFonts w:eastAsia="宋体" w:ascii="宋体" w:hAnsi="宋体" w:cs="宋体"/>
      <w:color w:val="0000ff"/>
      <w:sz w:val="24"/>
      <w:szCs w:val="24"/>
      <w:u w:val="single"/>
    </w:rPr>
  </w:style>
  <w:style w:type="table" w:customStyle="1" w:styleId="tableStyle">
    <w:name w:val="tableStyle"/>
    <w:uiPriority w:val="99"/>
    <w:tblPr>
      <w:jc w:val="center"/>
      <w:tblCellMar>
        <w:top w:w="100" w:type="dxa"/>
        <w:left w:w="100" w:type="dxa"/>
        <w:right w:w="100" w:type="dxa"/>
        <w:bottom w:w="100" w:type="dxa"/>
      </w:tblCellMar>
      <w:tblBorders>
        <w:top w:val="single" w:sz="6" w:color=""/>
        <w:left w:val="single" w:sz="6" w:color=""/>
        <w:right w:val="single" w:sz="6" w:color=""/>
        <w:bottom w:val="single" w:sz="6" w:color=""/>
        <w:insideH w:val="single" w:sz="6" w:color=""/>
        <w:insideV w:val="single" w:sz="6" w:color=""/>
      </w:tblBorders>
    </w:tblPr>
    <w:tblStylePr w:type="firstRow">
      <w:tcPr>
        <w:shd w:val="clear" w:color="auto" w:fill="#1F497D"/>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KKSoft</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张凯传</dc:creator>
  <cp:lastModifiedBy>张凯传</cp:lastModifiedBy>
  <dcterms:created xsi:type="dcterms:W3CDTF">2024-03-29T15:49:03+08:00</dcterms:created>
  <dcterms:modified xsi:type="dcterms:W3CDTF">2024-03-29T15:49:03+08:00</dcterms:modified>
  <dc:title/>
  <dc:description>招标投标项目网</dc:description>
  <dc:subject>招标投标项目网</dc:subject>
  <cp:keywords>招标投标项目网</cp:keywords>
  <cp:category>项目导出</cp:category>
</cp:coreProperties>
</file>